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png" ContentType="image/png"/>
  <Override PartName="/word/media/rId52.png" ContentType="image/png"/>
  <Override PartName="/word/media/rId29.png" ContentType="image/png"/>
  <Override PartName="/word/media/rId69.png" ContentType="image/png"/>
  <Override PartName="/word/media/rId47.png" ContentType="image/png"/>
  <Override PartName="/word/media/rId58.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 and temporal distribution of the invasive</w:t>
      </w:r>
      <w:r>
        <w:t xml:space="preserve"> </w:t>
      </w:r>
      <w:r>
        <w:rPr>
          <w:i/>
          <w:iCs/>
        </w:rPr>
        <w:t xml:space="preserve">Gracilaria vermiculophylla</w:t>
      </w:r>
      <w:r>
        <w:t xml:space="preserve"> </w:t>
      </w:r>
      <w:r>
        <w:t xml:space="preserve">through remote sensing at its first described European site</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2024-12-18</w:t>
      </w:r>
    </w:p>
    <w:p>
      <w:pPr>
        <w:pStyle w:val="AbstractTitle"/>
      </w:pPr>
      <w:r>
        <w:t xml:space="preserve">Abstract</w:t>
      </w:r>
    </w:p>
    <w:p>
      <w:pPr>
        <w:pStyle w:val="Abstract"/>
      </w:pPr>
      <w:r>
        <w:t xml:space="preserve">To be Written</w:t>
      </w:r>
    </w:p>
    <w:p>
      <w:pPr>
        <w:pStyle w:val="FirstParagraph"/>
      </w:pPr>
      <w:r>
        <w:rPr>
          <w:rStyle w:val="FootnoteReference"/>
        </w:rPr>
        <w:footnoteReference w:id="20"/>
      </w:r>
    </w:p>
    <w:bookmarkStart w:id="21" w:name="title-proposition"/>
    <w:p>
      <w:pPr>
        <w:pStyle w:val="Heading1"/>
      </w:pPr>
      <w:r>
        <w:t xml:space="preserve">1. Title proposition</w:t>
      </w:r>
    </w:p>
    <w:p>
      <w:pPr>
        <w:numPr>
          <w:ilvl w:val="0"/>
          <w:numId w:val="1001"/>
        </w:numPr>
      </w:pPr>
      <w:r>
        <w:t xml:space="preserve">Remote Sensing of</w:t>
      </w:r>
      <w:r>
        <w:t xml:space="preserve"> </w:t>
      </w:r>
      <w:r>
        <w:rPr>
          <w:i/>
          <w:iCs/>
        </w:rPr>
        <w:t xml:space="preserve">Gracilaria vermiculophylla</w:t>
      </w:r>
      <w:r>
        <w:t xml:space="preserve"> </w:t>
      </w:r>
      <w:r>
        <w:t xml:space="preserve">in the site of its First European Observation</w:t>
      </w:r>
    </w:p>
    <w:p>
      <w:pPr>
        <w:numPr>
          <w:ilvl w:val="0"/>
          <w:numId w:val="1001"/>
        </w:numPr>
      </w:pPr>
      <w:r>
        <w:t xml:space="preserve">Monitoring the marine invasive alien species</w:t>
      </w:r>
      <w:r>
        <w:t xml:space="preserve"> </w:t>
      </w:r>
      <w:r>
        <w:rPr>
          <w:i/>
          <w:iCs/>
        </w:rPr>
        <w:t xml:space="preserve">Gracilaria vermiculophylla</w:t>
      </w:r>
      <w:r>
        <w:t xml:space="preserve"> </w:t>
      </w:r>
      <w:r>
        <w:t xml:space="preserve">using unmanned aerial vehicles</w:t>
      </w:r>
    </w:p>
    <w:p>
      <w:pPr>
        <w:numPr>
          <w:ilvl w:val="0"/>
          <w:numId w:val="1001"/>
        </w:numPr>
      </w:pPr>
      <w:r>
        <w:t xml:space="preserve">Remote Sensing of</w:t>
      </w:r>
      <w:r>
        <w:t xml:space="preserve"> </w:t>
      </w:r>
      <w:r>
        <w:rPr>
          <w:i/>
          <w:iCs/>
        </w:rPr>
        <w:t xml:space="preserve">Gracilaria vermiculophylla</w:t>
      </w:r>
      <w:r>
        <w:t xml:space="preserve">: Mapping its Distribution at the Site of its First European Description</w:t>
      </w:r>
    </w:p>
    <w:p>
      <w:pPr>
        <w:numPr>
          <w:ilvl w:val="0"/>
          <w:numId w:val="1001"/>
        </w:numPr>
      </w:pPr>
      <w:r>
        <w:t xml:space="preserve">Mapping the Spread of the Invasive Species</w:t>
      </w:r>
      <w:r>
        <w:t xml:space="preserve"> </w:t>
      </w:r>
      <w:r>
        <w:rPr>
          <w:i/>
          <w:iCs/>
        </w:rPr>
        <w:t xml:space="preserve">Gracilaria vermiculophylla</w:t>
      </w:r>
      <w:r>
        <w:t xml:space="preserve"> </w:t>
      </w:r>
      <w:r>
        <w:t xml:space="preserve">using Remote Sensing at the Site of its Initial Description in Europe</w:t>
      </w:r>
    </w:p>
    <w:p>
      <w:pPr>
        <w:numPr>
          <w:ilvl w:val="0"/>
          <w:numId w:val="1001"/>
        </w:numPr>
      </w:pPr>
      <w:r>
        <w:t xml:space="preserve">Quantifying</w:t>
      </w:r>
      <w:r>
        <w:t xml:space="preserve"> </w:t>
      </w:r>
      <w:r>
        <w:rPr>
          <w:i/>
          <w:iCs/>
        </w:rPr>
        <w:t xml:space="preserve">Gracilaria vermiculophylla</w:t>
      </w:r>
      <w:r>
        <w:t xml:space="preserve"> </w:t>
      </w:r>
      <w:r>
        <w:t xml:space="preserve">Spatial and Temporal Distribution Through Remote Sensing at its First Recorded European Site</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 requiring effective inventorying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 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w:t>
      </w:r>
      <w:r>
        <w:t xml:space="preserve">across temperate estuaries in North America, Europe, and other regions, facilitated by aquaculture and maritime activities</w:t>
      </w:r>
      <w:r>
        <w:t xml:space="preserve"> </w:t>
      </w:r>
      <w:r>
        <w:t xml:space="preserve">(Krueger-Hadfield et al., 2017; Rueness, 2005; Weinberger et al., 2008)</w:t>
      </w:r>
      <w:r>
        <w:t xml:space="preserve">. While</w:t>
      </w:r>
      <w:r>
        <w:t xml:space="preserve"> </w:t>
      </w:r>
      <w:r>
        <w:rPr>
          <w:i/>
          <w:iCs/>
        </w:rPr>
        <w:t xml:space="preserve">G. vermiculophylla</w:t>
      </w:r>
      <w:r>
        <w:t xml:space="preserve"> </w:t>
      </w:r>
      <w:r>
        <w:t xml:space="preserve">can provide some ecosystem services, such as habitat for invertebrates and juvenile fish</w:t>
      </w:r>
      <w:r>
        <w:t xml:space="preserve"> </w:t>
      </w:r>
      <w:r>
        <w:t xml:space="preserve">(Davoult et al., 2017)</w:t>
      </w:r>
      <w:r>
        <w:t xml:space="preserve">, it often outcompetes native vegetation, alters sediment composition</w:t>
      </w:r>
      <w:r>
        <w:t xml:space="preserve"> </w:t>
      </w:r>
      <w:r>
        <w:t xml:space="preserve">(Nyberg et al., 2009)</w:t>
      </w:r>
      <w:r>
        <w:t xml:space="preserve">, and disrupts trophic interactions</w:t>
      </w:r>
      <w:r>
        <w:t xml:space="preserve"> </w:t>
      </w:r>
      <w:r>
        <w:t xml:space="preserve">(Ginneken et al., 2018)</w:t>
      </w:r>
      <w:r>
        <w:t xml:space="preserve">. In regions like the Baltic Sea and the eastern United States, it has been documented to negatively affect native fucoids and seagrasses</w:t>
      </w:r>
      <w:r>
        <w:t xml:space="preserve"> </w:t>
      </w:r>
      <w:r>
        <w:t xml:space="preserve">(Firth et al., 2024; Thomsen et al., 2013; Van Katwijk, 2003)</w:t>
      </w:r>
      <w:r>
        <w:t xml:space="preserve">. These impacts underscore the importance of monitoring and managing the spread of</w:t>
      </w:r>
      <w:r>
        <w:t xml:space="preserve"> </w:t>
      </w:r>
      <w:r>
        <w:rPr>
          <w:i/>
          <w:iCs/>
        </w:rPr>
        <w:t xml:space="preserve">G. vermiculophylla</w:t>
      </w:r>
      <w:r>
        <w:t xml:space="preserve">,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w:t>
      </w:r>
      <w:r>
        <w:t xml:space="preserve">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is capable of establishing populations in soft-bottom sediment habitats that were previously devoid of macroalgae</w:t>
      </w:r>
      <w:r>
        <w:t xml:space="preserve"> </w:t>
      </w:r>
      <w:r>
        <w:t xml:space="preserve">(Ramus et al., 2017)</w:t>
      </w:r>
      <w:r>
        <w:t xml:space="preserve">. These mats are usually monospecific with the alga thalli partially buried into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had not been quantitatively assessed.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to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In this study, a drone-based multispectral remote sensing approach was applied to map</w:t>
      </w:r>
      <w:r>
        <w:t xml:space="preserve"> </w:t>
      </w:r>
      <w:r>
        <w:rPr>
          <w:i/>
          <w:iCs/>
        </w:rPr>
        <w:t xml:space="preserve">G. vermiculophylla</w:t>
      </w:r>
      <w:r>
        <w:t xml:space="preserve"> </w:t>
      </w:r>
      <w:r>
        <w:t xml:space="preserve">spatial distribution at a very-high spatial resolution in three intertidal estuaries of European Atlantic coast. We adapted the neural network classification model DISCOV (Drone Intertidal Substrate Classification Of Vegetation,</w:t>
      </w:r>
      <w:r>
        <w:t xml:space="preserve"> </w:t>
      </w:r>
      <w:r>
        <w:t xml:space="preserve">Oiry et al. (2024b)</w:t>
      </w:r>
      <w:r>
        <w:t xml:space="preserve">,</w:t>
      </w:r>
      <w:r>
        <w:t xml:space="preserve"> </w:t>
      </w:r>
      <w:r>
        <w:t xml:space="preserve">Oiry et al. (2024a)</w:t>
      </w:r>
      <w:r>
        <w:t xml:space="preserve">) by specifically training the model with a new class corresponding to</w:t>
      </w:r>
      <w:r>
        <w:t xml:space="preserve"> </w:t>
      </w:r>
      <w:r>
        <w:rPr>
          <w:i/>
          <w:iCs/>
        </w:rPr>
        <w:t xml:space="preserve">G. vermiculophylla</w:t>
      </w:r>
      <w:r>
        <w:t xml:space="preserve">. A validation dataset was obtained from</w:t>
      </w:r>
      <w:r>
        <w:t xml:space="preserve"> </w:t>
      </w:r>
      <w:r>
        <w:rPr>
          <w:i/>
          <w:iCs/>
        </w:rPr>
        <w:t xml:space="preserve">in situ</w:t>
      </w:r>
      <w:r>
        <w:t xml:space="preserve"> </w:t>
      </w:r>
      <w:r>
        <w:t xml:space="preserve">data to estimate the classification accuracy. LIDAR data were concurrently acquired to accurately map the intertidal elevation. We used a Generalized Additive Model (GAM) to examine the relationship between the seaweed spatial distribution and spatial metrics quantifying the mudflat topography. We expected the presence of G. vermiculophylla in mudflats to be associated to a specific height range as well as being more closely related to flat areas of the intertidal zone.</w:t>
      </w:r>
    </w:p>
    <w:bookmarkEnd w:id="22"/>
    <w:bookmarkStart w:id="46"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in France and Spain. At each site, two locations were investigated</w:t>
      </w:r>
      <w:r>
        <w:t xml:space="preserve"> </w:t>
      </w:r>
      <w:hyperlink w:anchor="fig-location_sites">
        <w:r>
          <w:rPr>
            <w:rStyle w:val="Hyperlink"/>
          </w:rPr>
          <w:t xml:space="preserve">Figure 1</w:t>
        </w:r>
      </w:hyperlink>
      <w:r>
        <w:t xml:space="preserve">. The Aven &amp; Belon Estuary in South Brittany, France (</w:t>
      </w:r>
      <w:hyperlink w:anchor="fig-location_sites">
        <w:r>
          <w:rPr>
            <w:rStyle w:val="Hyperlink"/>
          </w:rPr>
          <w:t xml:space="preserve">Figure 1</w:t>
        </w:r>
      </w:hyperlink>
      <w:r>
        <w:t xml:space="preserve"> </w:t>
      </w:r>
      <w:r>
        <w:t xml:space="preserve">A &amp; C), is a dynamic ria-type system hosting diverse habitats, including sandy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 estuary serves as a nursery for juvenile fish and a feeding ground for migratory birds, with its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alterations, with bioindicators like</w:t>
      </w:r>
      <w:r>
        <w:t xml:space="preserve"> </w:t>
      </w:r>
      <w:r>
        <w:rPr>
          <w:i/>
          <w:iCs/>
        </w:rPr>
        <w:t xml:space="preserve">S. plana</w:t>
      </w:r>
      <w:r>
        <w:t xml:space="preserve"> </w:t>
      </w:r>
      <w:r>
        <w:t xml:space="preserve">used to monitor the impacts of salinity, sediment quality, and pollution</w:t>
      </w:r>
      <w:r>
        <w:t xml:space="preserve"> </w:t>
      </w:r>
      <w:r>
        <w:t xml:space="preserve">(Tankoua et al., 2011)</w:t>
      </w:r>
      <w:r>
        <w:t xml:space="preserve">.</w:t>
      </w:r>
    </w:p>
    <w:p>
      <w:pPr>
        <w:pStyle w:val="BodyText"/>
      </w:pPr>
      <w:r>
        <w:t xml:space="preserve">The Saja-Besaya Estuary, situated along the Cantabrian Sea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impacts the estuarine ecosystem, including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Bélon Estuary, France; C: Flights made in Saja Estuaries, Spain. Golden polygons represent intertidal areas.</w:t>
            </w:r>
          </w:p>
          <w:bookmarkEnd w:id="26"/>
        </w:tc>
      </w:tr>
    </w:tbl>
    <w:bookmarkEnd w:id="27"/>
    <w:bookmarkEnd w:id="28"/>
    <w:bookmarkStart w:id="40"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_censored.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Pictures of</w:t>
            </w:r>
            <w:r>
              <w:t xml:space="preserve"> </w:t>
            </w:r>
            <w:r>
              <w:rPr>
                <w:i/>
                <w:iCs/>
              </w:rPr>
              <w:t xml:space="preserve">Gracilaria vermiculophylla</w:t>
            </w:r>
            <w:r>
              <w:t xml:space="preserve">. A: Quadrat of 0.25 m² with a high cover of</w:t>
            </w:r>
            <w:r>
              <w:t xml:space="preserve"> </w:t>
            </w:r>
            <w:r>
              <w:rPr>
                <w:i/>
                <w:iCs/>
              </w:rPr>
              <w:t xml:space="preserve">G. vermiculophylla</w:t>
            </w:r>
            <w:r>
              <w:t xml:space="preserve">; B: Single thallus of the algae; C: Landscape view with a high coverage of G. vermiculophylla; D: Recording of the spectral signature of the algae using an ASD FieldSpec HandHeld 2 spectroradiometer.</w:t>
            </w:r>
          </w:p>
          <w:bookmarkEnd w:id="32"/>
        </w:tc>
      </w:tr>
    </w:tbl>
    <w:bookmarkEnd w:id="33"/>
    <w:bookmarkStart w:id="35" w:name="hyperspectral-measurements"/>
    <w:p>
      <w:pPr>
        <w:pStyle w:val="Heading3"/>
      </w:pPr>
      <w:r>
        <w:t xml:space="preserve">3.2.1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w:t>
      </w:r>
      <w:r>
        <w:t xml:space="preserve"> </w:t>
      </w:r>
      <w:hyperlink w:anchor="fig-PictureFigure">
        <w:r>
          <w:rPr>
            <w:rStyle w:val="Hyperlink"/>
          </w:rPr>
          <w:t xml:space="preserve">Figure 2</w:t>
        </w:r>
      </w:hyperlink>
      <w:r>
        <w:t xml:space="preserve">.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4"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4"/>
    </w:p>
    <w:p>
      <w:pPr>
        <w:pStyle w:val="FirstParagraph"/>
      </w:pPr>
      <w:r>
        <w:t xml:space="preserve">where $ f(</w:t>
      </w:r>
      <w:r>
        <w:t xml:space="preserve">_i) $ 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5"/>
    <w:bookmarkStart w:id="39" w:name="drone-data"/>
    <w:p>
      <w:pPr>
        <w:pStyle w:val="Heading3"/>
      </w:pPr>
      <w:r>
        <w:t xml:space="preserve">3.2.2 Drone data</w:t>
      </w:r>
    </w:p>
    <w:tbl>
      <w:tblPr>
        <w:tblStyle w:val="Table"/>
        <w:tblW w:type="pct" w:w="5000"/>
        <w:tblLayout w:type="fixed"/>
        <w:tblLook w:firstRow="0" w:lastRow="0" w:firstColumn="0" w:lastColumn="0" w:noHBand="0" w:noVBand="0" w:val="0000"/>
      </w:tblPr>
      <w:tblGrid>
        <w:gridCol w:w="7920"/>
      </w:tblGrid>
      <w:tr>
        <w:tc>
          <w:tcPr/>
          <w:bookmarkStart w:id="36" w:name="tbl-flights"/>
          <w:p>
            <w:pPr>
              <w:jc w:val="center"/>
            </w:pPr>
            <w:pPr>
              <w:jc w:val="start"/>
              <w:spacing w:before="200"/>
              <w:pStyle w:val="ImageCaption"/>
            </w:pPr>
            <w:r>
              <w:t xml:space="preserve">Table 1: List of drone flights, summarising the location, the date, and the total extent of each flight (in hectars).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Flight</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w:t>
                  </w:r>
                </w:p>
              </w:tc>
            </w:tr>
            <w:tr>
              <w:trPr>
                <w:trHeight w:val="360" w:hRule="auto"/>
              </w:trPr>
              body1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Aven &amp; Belon</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w:t>
                  </w:r>
                </w:p>
              </w:tc>
            </w:tr>
            <w:tr>
              <w:trPr>
                <w:trHeight w:val="360" w:hRule="auto"/>
              </w:trPr>
              body2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du Guilly</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r>
            <w:tr>
              <w:trPr>
                <w:trHeight w:val="360" w:hRule="auto"/>
              </w:trPr>
              body3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Saja Estuary</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r>
            <w:tr>
              <w:trPr>
                <w:trHeight w:val="360" w:hRule="auto"/>
              </w:trPr>
              body4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bl>
          <w:bookmarkEnd w:id="36"/>
        </w:tc>
      </w:tr>
    </w:tbl>
    <w:p>
      <w:pPr>
        <w:pStyle w:val="BodyText"/>
      </w:pPr>
      <w:r>
        <w:t xml:space="preserve">A total of 6 drone flights were done spread in the 3 study sites. Each time, flights were done at an altitude of 120 m and at a speed of 10 m.s</w:t>
      </w:r>
      <w:r>
        <w:rPr>
          <w:vertAlign w:val="superscript"/>
        </w:rPr>
        <w:t xml:space="preserve">-1</w:t>
      </w:r>
      <w:r>
        <w:t xml:space="preserve"> </w:t>
      </w:r>
      <w:r>
        <w:t xml:space="preserve">(</w:t>
      </w:r>
      <w:hyperlink w:anchor="tbl-flights">
        <w:r>
          <w:rPr>
            <w:rStyle w:val="Hyperlink"/>
          </w:rPr>
          <w:t xml:space="preserve">Table 1</w:t>
        </w:r>
      </w:hyperlink>
      <w:r>
        <w:t xml:space="preserve">).</w:t>
      </w:r>
    </w:p>
    <w:bookmarkStart w:id="37" w:name="sec-photo"/>
    <w:p>
      <w:pPr>
        <w:pStyle w:val="Heading4"/>
      </w:pPr>
      <w:r>
        <w:t xml:space="preserve">3.2.2.1 Multispectral data</w:t>
      </w:r>
    </w:p>
    <w:p>
      <w:pPr>
        <w:pStyle w:val="FirstParagraph"/>
      </w:pPr>
      <w:r>
        <w:t xml:space="preserve">At each location, reflectance images with a resolution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were 8 cm per pixel.</w:t>
      </w:r>
    </w:p>
    <w:bookmarkEnd w:id="37"/>
    <w:bookmarkStart w:id="38" w:name="lidar-data"/>
    <w:p>
      <w:pPr>
        <w:pStyle w:val="Heading4"/>
      </w:pPr>
      <w:r>
        <w:t xml:space="preserve">3.2.2.2 LiDAR data</w:t>
      </w:r>
    </w:p>
    <w:p>
      <w:pPr>
        <w:pStyle w:val="FirstParagraph"/>
      </w:pPr>
      <w:r>
        <w:t xml:space="preserve">LiDAR standing for Light Detection and Ranging uses lasers to measure distances by timing reflected pulses, creating detailed 3D maps of surfaces.</w:t>
      </w:r>
    </w:p>
    <w:p>
      <w:pPr>
        <w:pStyle w:val="BodyText"/>
      </w:pPr>
      <w:r>
        <w:t xml:space="preserve">Using the Matrice 300 Series Dual Gimbal Connector, a DJI Zenmuse L1 LiDAR and RGB sensor was mounted on the drone alongside a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3.2.2.1</w:t>
        </w:r>
      </w:hyperlink>
      <w:r>
        <w:t xml:space="preserve"> </w:t>
      </w:r>
      <w:r>
        <w:t xml:space="preserve">was applied to process LiDAR RGB images, resulting in ortho-mosaic with a resolution of 2.5 cm per pixel. Since the mapping focused solely on flat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were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Vertical (angle &gt; 40°).</w:t>
      </w:r>
    </w:p>
    <w:bookmarkEnd w:id="38"/>
    <w:bookmarkEnd w:id="39"/>
    <w:bookmarkEnd w:id="40"/>
    <w:bookmarkStart w:id="43" w:name="scene-classification"/>
    <w:p>
      <w:pPr>
        <w:pStyle w:val="Heading2"/>
      </w:pPr>
      <w:r>
        <w:t xml:space="preserve">3.3 Scene classification</w:t>
      </w:r>
    </w:p>
    <w:p>
      <w:pPr>
        <w:pStyle w:val="FirstParagraph"/>
      </w:pPr>
      <w:r>
        <w:t xml:space="preserve">A neural network classification model (DISCOV;</w:t>
      </w:r>
      <w:r>
        <w:t xml:space="preserve"> </w:t>
      </w:r>
      <w:r>
        <w:t xml:space="preserve">Oiry et al. (2024b)</w:t>
      </w:r>
      <w:r>
        <w:t xml:space="preserve">;</w:t>
      </w:r>
      <w:r>
        <w:t xml:space="preserve"> </w:t>
      </w:r>
      <w:r>
        <w:t xml:space="preserve">Oiry et al. (2024a)</w:t>
      </w:r>
      <w:r>
        <w:t xml:space="preserve">), previously applied with success to Micasense reflectance data for mapping intertidal vegetation along the Portuguese and French Atlantic coasts, has been used in this study. The training dataset of DISCOV v1.0 has been updated. As shown by</w:t>
      </w:r>
      <w:r>
        <w:t xml:space="preserve"> </w:t>
      </w:r>
      <w:r>
        <w:t xml:space="preserve">Oiry et al. (2024b)</w:t>
      </w:r>
      <w:r>
        <w:t xml:space="preserve"> </w:t>
      </w:r>
      <w:r>
        <w:t xml:space="preserve">the DISCOV v1.0 model</w:t>
      </w:r>
      <w:r>
        <w:t xml:space="preserve"> </w:t>
      </w:r>
      <w:r>
        <w:t xml:space="preserve">(Oiry et al., 2024a)</w:t>
      </w:r>
      <w:r>
        <w:t xml:space="preserve"> </w:t>
      </w:r>
      <w:r>
        <w:t xml:space="preserve">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where added to the DISCOV training dataset compared to the version 1 (</w:t>
      </w:r>
      <w:hyperlink w:anchor="tbl-Update_training">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Update_training"/>
          <w:p>
            <w:pPr>
              <w:jc w:val="center"/>
            </w:pPr>
            <w:pPr>
              <w:jc w:val="start"/>
              <w:spacing w:before="200"/>
              <w:pStyle w:val="ImageCaption"/>
            </w:pPr>
            <w:r>
              <w:t xml:space="preserve">Table 2: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41"/>
        </w:tc>
      </w:tr>
    </w:tbl>
    <w:p>
      <w:pPr>
        <w:pStyle w:val="BodyText"/>
      </w:pPr>
      <w:r>
        <w:t xml:space="preserve">To validate the new version of the DISCOV model, a Shiny app was developed, enabling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w:t>
      </w:r>
      <w:r>
        <w:t xml:space="preserve"> </w:t>
      </w:r>
      <w:hyperlink w:anchor="tbl-ValidationDataset">
        <w:r>
          <w:rPr>
            <w:rStyle w:val="Hyperlink"/>
          </w:rPr>
          <w:t xml:space="preserve">Table 3</w:t>
        </w:r>
      </w:hyperlink>
      <w:r>
        <w:t xml:space="preserve">. The validation dataset was then simplify into two classes: Presence of Absence of Red Algae.</w:t>
      </w:r>
    </w:p>
    <w:tbl>
      <w:tblPr>
        <w:tblStyle w:val="Table"/>
        <w:tblW w:type="pct" w:w="5000"/>
        <w:tblLayout w:type="fixed"/>
        <w:tblLook w:firstRow="0" w:lastRow="0" w:firstColumn="0" w:lastColumn="0" w:noHBand="0" w:noVBand="0" w:val="0000"/>
      </w:tblPr>
      <w:tblGrid>
        <w:gridCol w:w="7920"/>
      </w:tblGrid>
      <w:tr>
        <w:tc>
          <w:tcPr/>
          <w:bookmarkStart w:id="42" w:name="tbl-ValidationDataset"/>
          <w:p>
            <w:pPr>
              <w:jc w:val="center"/>
            </w:pPr>
            <w:pPr>
              <w:jc w:val="start"/>
              <w:spacing w:before="200"/>
              <w:pStyle w:val="ImageCaption"/>
            </w:pPr>
            <w:r>
              <w:t xml:space="preserve">Table 3: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42"/>
        </w:tc>
      </w:tr>
    </w:tbl>
    <w:bookmarkEnd w:id="43"/>
    <w:bookmarkStart w:id="45" w:name="X852478e0394e3510ff64c90d9aef5c8c81c6d46"/>
    <w:p>
      <w:pPr>
        <w:pStyle w:val="Heading2"/>
      </w:pPr>
      <w:r>
        <w:t xml:space="preserve">3.4 Historical Presence of</w:t>
      </w:r>
      <w:r>
        <w:t xml:space="preserve"> </w:t>
      </w:r>
      <w:r>
        <w:rPr>
          <w:i/>
          <w:iCs/>
        </w:rPr>
        <w:t xml:space="preserve">Gracilaria vermiculophylla</w:t>
      </w:r>
      <w:r>
        <w:t xml:space="preserve"> </w:t>
      </w:r>
      <w:r>
        <w:t xml:space="preserve">in the Bélon esturay</w:t>
      </w:r>
    </w:p>
    <w:p>
      <w:pPr>
        <w:pStyle w:val="FirstParagraph"/>
      </w:pPr>
      <w:r>
        <w:t xml:space="preserve">To assess the historical presence of</w:t>
      </w:r>
      <w:r>
        <w:t xml:space="preserve"> </w:t>
      </w:r>
      <w:r>
        <w:rPr>
          <w:i/>
          <w:iCs/>
        </w:rPr>
        <w:t xml:space="preserve">G. vermiculophylla</w:t>
      </w:r>
      <w:r>
        <w:t xml:space="preserve"> </w:t>
      </w:r>
      <w:r>
        <w:t xml:space="preserve">in the Bélon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plateform and an additional one has been added for the year 2024 (</w:t>
      </w:r>
      <w:hyperlink w:anchor="tbl-IGNimg">
        <w:r>
          <w:rPr>
            <w:rStyle w:val="Hyperlink"/>
          </w:rPr>
          <w:t xml:space="preserve">Table 4</w:t>
        </w:r>
      </w:hyperlink>
      <w:r>
        <w:t xml:space="preserve">). Since most of the images retrieved from</w:t>
      </w:r>
      <w:r>
        <w:t xml:space="preserve"> </w:t>
      </w:r>
      <w:r>
        <w:t xml:space="preserve">“Remonter Le Temps”</w:t>
      </w:r>
      <w:r>
        <w:t xml:space="preserve"> </w:t>
      </w:r>
      <w:r>
        <w:t xml:space="preserve">were digitized versions of physical photographs, georeferencing were required.</w:t>
      </w:r>
    </w:p>
    <w:tbl>
      <w:tblPr>
        <w:tblStyle w:val="Table"/>
        <w:tblW w:type="pct" w:w="5000"/>
        <w:tblLayout w:type="fixed"/>
        <w:tblLook w:firstRow="0" w:lastRow="0" w:firstColumn="0" w:lastColumn="0" w:noHBand="0" w:noVBand="0" w:val="0000"/>
      </w:tblPr>
      <w:tblGrid>
        <w:gridCol w:w="7920"/>
      </w:tblGrid>
      <w:tr>
        <w:tc>
          <w:tcPr/>
          <w:bookmarkStart w:id="44" w:name="tbl-IGNimg"/>
          <w:p>
            <w:pPr>
              <w:jc w:val="center"/>
            </w:pPr>
            <w:pPr>
              <w:jc w:val="start"/>
              <w:spacing w:before="200"/>
              <w:pStyle w:val="ImageCaption"/>
            </w:pPr>
            <w:r>
              <w:t xml:space="preserve">Table 4: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44"/>
        </w:tc>
      </w:tr>
    </w:tbl>
    <w:p>
      <w:pPr>
        <w:pStyle w:val="BodyText"/>
      </w:pPr>
      <w:r>
        <w:t xml:space="preserve">For each date, polygons have been drawn around</w:t>
      </w:r>
      <w:r>
        <w:t xml:space="preserve"> </w:t>
      </w:r>
      <w:r>
        <w:rPr>
          <w:i/>
          <w:iCs/>
        </w:rPr>
        <w:t xml:space="preserve">G. vermiculophylla</w:t>
      </w:r>
      <w:r>
        <w:t xml:space="preserve"> </w:t>
      </w:r>
      <w:r>
        <w:t xml:space="preserve">patches by visually photo-interpreting on each images. These polygons were used to calculate the total area of the mudflat covered by macroalgae within a common extent of 30 hectares in Pont de Guilly, located in the Bélon Estuary, South Brittany, France.</w:t>
      </w:r>
    </w:p>
    <w:bookmarkEnd w:id="45"/>
    <w:bookmarkEnd w:id="46"/>
    <w:bookmarkStart w:id="75" w:name="results"/>
    <w:p>
      <w:pPr>
        <w:pStyle w:val="Heading1"/>
      </w:pPr>
      <w:r>
        <w:t xml:space="preserve">4. Results</w:t>
      </w:r>
    </w:p>
    <w:bookmarkStart w:id="57" w:name="historical-records-in-the-belon-estuary"/>
    <w:p>
      <w:pPr>
        <w:pStyle w:val="Heading2"/>
      </w:pPr>
      <w:r>
        <w:t xml:space="preserve">4.1 Historical records in the Belon estuary</w:t>
      </w:r>
    </w:p>
    <w:p>
      <w:pPr>
        <w:pStyle w:val="FirstParagraph"/>
      </w:pPr>
      <w:r>
        <w:t xml:space="preserve">A clear shift in sediment coloration over the paste 70 years were observed, closely aligned with the subsequent proliferation of the invasive red macroalga</w:t>
      </w:r>
      <w:r>
        <w:t xml:space="preserve"> </w:t>
      </w:r>
      <w:r>
        <w:rPr>
          <w:i/>
          <w:iCs/>
        </w:rPr>
        <w:t xml:space="preserve">Gracilaria vermiculophylla</w:t>
      </w:r>
      <w:r>
        <w:t xml:space="preserve"> </w:t>
      </w:r>
      <w:r>
        <w:t xml:space="preserve">(</w:t>
      </w:r>
      <w:hyperlink w:anchor="fig-HistoricalMap">
        <w:r>
          <w:rPr>
            <w:rStyle w:val="Hyperlink"/>
          </w:rPr>
          <w:t xml:space="preserve">Figure 3</w:t>
        </w:r>
      </w:hyperlink>
      <w:r>
        <w:t xml:space="preserve">). Before 1976, the sediments appeared relatively light, indicating no detectable presence of this species. Following its initial appearance in 1976, subtle darkening of the sediment became discernible, coinciding with the early establishment of</w:t>
      </w:r>
      <w:r>
        <w:t xml:space="preserve"> </w:t>
      </w:r>
      <w:r>
        <w:rPr>
          <w:i/>
          <w:iCs/>
        </w:rPr>
        <w:t xml:space="preserve">G. vermiculophylla</w:t>
      </w:r>
      <w:r>
        <w:t xml:space="preserve">. During the subsequent decades, the late 1970s through the 1990s, this darkening trend became more pronounced and widespread, reflecting an increasing spatial coverage and biomass of the algae. By the early 2000s, and especially by 2024, the sediment exhibited consistently darker tones, indicative of extensive and persistent colonization by</w:t>
      </w:r>
      <w:r>
        <w:t xml:space="preserve"> </w:t>
      </w:r>
      <w:r>
        <w:rPr>
          <w:i/>
          <w:iCs/>
        </w:rPr>
        <w:t xml:space="preserve">G. vermiculophylla</w:t>
      </w:r>
      <w:r>
        <w:t xml:space="preserve">.</w:t>
      </w:r>
    </w:p>
    <w:bookmarkStart w:id="51" w:name="cell-fig-HistoricalMap"/>
    <w:tbl>
      <w:tblPr>
        <w:tblStyle w:val="Table"/>
        <w:tblW w:type="pct" w:w="5000"/>
        <w:tblLayout w:type="fixed"/>
        <w:tblLook w:firstRow="0" w:lastRow="0" w:firstColumn="0" w:lastColumn="0" w:noHBand="0" w:noVBand="0" w:val="0000"/>
      </w:tblPr>
      <w:tblGrid>
        <w:gridCol w:w="7920"/>
      </w:tblGrid>
      <w:tr>
        <w:tc>
          <w:tcPr/>
          <w:bookmarkStart w:id="50" w:name="fig-HistoricalMap"/>
          <w:p>
            <w:pPr>
              <w:pStyle w:val="Compact"/>
              <w:jc w:val="center"/>
            </w:pPr>
            <w:r>
              <w:drawing>
                <wp:inline>
                  <wp:extent cx="5646420" cy="2549358"/>
                  <wp:effectExtent b="0" l="0" r="0" t="0"/>
                  <wp:docPr descr="" title="" id="48" name="Picture"/>
                  <a:graphic>
                    <a:graphicData uri="http://schemas.openxmlformats.org/drawingml/2006/picture">
                      <pic:pic>
                        <pic:nvPicPr>
                          <pic:cNvPr descr="./Figures/Low_res/Historical_maps.png" id="49" name="Picture"/>
                          <pic:cNvPicPr>
                            <a:picLocks noChangeArrowheads="1" noChangeAspect="1"/>
                          </pic:cNvPicPr>
                        </pic:nvPicPr>
                        <pic:blipFill>
                          <a:blip r:embed="rId47"/>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Historical images of Pont du Guilly between 1952 and 2024.</w:t>
            </w:r>
          </w:p>
          <w:bookmarkEnd w:id="50"/>
        </w:tc>
      </w:tr>
    </w:tbl>
    <w:bookmarkEnd w:id="51"/>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4</w:t>
        </w:r>
      </w:hyperlink>
      <w:r>
        <w:t xml:space="preserve">). Shortly after the introduction of</w:t>
      </w:r>
      <w:r>
        <w:t xml:space="preserve"> </w:t>
      </w:r>
      <w:r>
        <w:rPr>
          <w:i/>
          <w:iCs/>
        </w:rPr>
        <w:t xml:space="preserve">Crassostrea gigas</w:t>
      </w:r>
      <w:r>
        <w:t xml:space="preserve"> </w:t>
      </w:r>
      <w:r>
        <w:t xml:space="preserve">in the estuary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fluctuated somewhat thereafter (40.6% in 2019 and 40.2% in 2024), it remained consistently high, indicating sustained and widespread colonization.</w:t>
      </w:r>
    </w:p>
    <w:bookmarkStart w:id="56" w:name="cell-fig-HistoricalPlot"/>
    <w:tbl>
      <w:tblPr>
        <w:tblStyle w:val="Table"/>
        <w:tblW w:type="pct" w:w="5000"/>
        <w:tblLayout w:type="fixed"/>
        <w:tblLook w:firstRow="0" w:lastRow="0" w:firstColumn="0" w:lastColumn="0" w:noHBand="0" w:noVBand="0" w:val="0000"/>
      </w:tblPr>
      <w:tblGrid>
        <w:gridCol w:w="7920"/>
      </w:tblGrid>
      <w:tr>
        <w:tc>
          <w:tcPr/>
          <w:bookmarkStart w:id="55" w:name="fig-HistoricalPlot"/>
          <w:p>
            <w:pPr>
              <w:pStyle w:val="Compact"/>
              <w:jc w:val="center"/>
            </w:pPr>
            <w:r>
              <w:drawing>
                <wp:inline>
                  <wp:extent cx="5646420" cy="3387852"/>
                  <wp:effectExtent b="0" l="0" r="0" t="0"/>
                  <wp:docPr descr="" title="" id="53" name="Picture"/>
                  <a:graphic>
                    <a:graphicData uri="http://schemas.openxmlformats.org/drawingml/2006/picture">
                      <pic:pic>
                        <pic:nvPicPr>
                          <pic:cNvPr descr="./Figures/Low_res/Cover_Gracillaria_vs_Time.png" id="54" name="Picture"/>
                          <pic:cNvPicPr>
                            <a:picLocks noChangeArrowheads="1" noChangeAspect="1"/>
                          </pic:cNvPicPr>
                        </pic:nvPicPr>
                        <pic:blipFill>
                          <a:blip r:embed="rId52"/>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Evolution of the Gracilaria vermiculophylla cover at Pont du Guilly in the Belon Estuary. The red vertical line indicates the date of Crassostrea gigas introduction in France</w:t>
            </w:r>
            <w:r>
              <w:t xml:space="preserve"> </w:t>
            </w:r>
            <w:r>
              <w:t xml:space="preserve">(Grizel and Heral, 1991)</w:t>
            </w:r>
            <w:r>
              <w:t xml:space="preserve">, while the golden line represents the date of the first documented mention of Gracilaria vermiculophylla invasion in France in the literature</w:t>
            </w:r>
            <w:r>
              <w:t xml:space="preserve"> </w:t>
            </w:r>
            <w:r>
              <w:t xml:space="preserve">(Rueness, 2005)</w:t>
            </w:r>
            <w:r>
              <w:t xml:space="preserve">.</w:t>
            </w:r>
          </w:p>
          <w:bookmarkEnd w:id="55"/>
        </w:tc>
      </w:tr>
    </w:tbl>
    <w:bookmarkEnd w:id="56"/>
    <w:bookmarkEnd w:id="57"/>
    <w:bookmarkStart w:id="63" w:name="spectral-description"/>
    <w:p>
      <w:pPr>
        <w:pStyle w:val="Heading2"/>
      </w:pPr>
      <w:r>
        <w:t xml:space="preserve">4.2 Spectral description</w:t>
      </w:r>
    </w:p>
    <w:p>
      <w:pPr>
        <w:pStyle w:val="FirstParagraph"/>
      </w:pPr>
      <w:r>
        <w:t xml:space="preserve">The spectral signature of</w:t>
      </w:r>
      <w:r>
        <w:t xml:space="preserve"> </w:t>
      </w:r>
      <w:r>
        <w:rPr>
          <w:i/>
          <w:iCs/>
        </w:rPr>
        <w:t xml:space="preserve">Gracilaria vermiculophylla</w:t>
      </w:r>
      <w:r>
        <w:t xml:space="preserve"> </w:t>
      </w:r>
      <w:r>
        <w:t xml:space="preserve">was characterized by a wavy reflectance pattern in the visible region of the spectrum, between 500 and 700 nm (</w:t>
      </w:r>
      <w:hyperlink w:anchor="fig-SpecDescri">
        <w:r>
          <w:rPr>
            <w:rStyle w:val="Hyperlink"/>
          </w:rPr>
          <w:t xml:space="preserve">Figure 5</w:t>
        </w:r>
      </w:hyperlink>
      <w:r>
        <w:t xml:space="preserve"> </w:t>
      </w:r>
      <w:r>
        <w:t xml:space="preserve">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a more precise identification of the spectral contributions of these pigments (</w:t>
      </w:r>
      <w:hyperlink w:anchor="fig-SpecDescri">
        <w:r>
          <w:rPr>
            <w:rStyle w:val="Hyperlink"/>
          </w:rPr>
          <w:t xml:space="preserve">Figure 5</w:t>
        </w:r>
      </w:hyperlink>
      <w:r>
        <w:t xml:space="preserve"> </w:t>
      </w:r>
      <w:r>
        <w:t xml:space="preserve">B).</w:t>
      </w:r>
    </w:p>
    <w:bookmarkStart w:id="62" w:name="cell-fig-SpecDescri"/>
    <w:tbl>
      <w:tblPr>
        <w:tblStyle w:val="Table"/>
        <w:tblW w:type="pct" w:w="5000"/>
        <w:tblLayout w:type="fixed"/>
        <w:tblLook w:firstRow="0" w:lastRow="0" w:firstColumn="0" w:lastColumn="0" w:noHBand="0" w:noVBand="0" w:val="0000"/>
      </w:tblPr>
      <w:tblGrid>
        <w:gridCol w:w="7920"/>
      </w:tblGrid>
      <w:tr>
        <w:tc>
          <w:tcPr/>
          <w:bookmarkStart w:id="61" w:name="fig-SpecDescri"/>
          <w:p>
            <w:pPr>
              <w:pStyle w:val="Compact"/>
              <w:jc w:val="center"/>
            </w:pPr>
            <w:r>
              <w:drawing>
                <wp:inline>
                  <wp:extent cx="5646420" cy="2823210"/>
                  <wp:effectExtent b="0" l="0" r="0" t="0"/>
                  <wp:docPr descr="" title="" id="59" name="Picture"/>
                  <a:graphic>
                    <a:graphicData uri="http://schemas.openxmlformats.org/drawingml/2006/picture">
                      <pic:pic>
                        <pic:nvPicPr>
                          <pic:cNvPr descr="./Figures/Low_res/plot_spectral_signature.png" id="60" name="Picture"/>
                          <pic:cNvPicPr>
                            <a:picLocks noChangeArrowheads="1" noChangeAspect="1"/>
                          </pic:cNvPicPr>
                        </pic:nvPicPr>
                        <pic:blipFill>
                          <a:blip r:embed="rId5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Hyperspectral signature of</w:t>
            </w:r>
            <w:r>
              <w:t xml:space="preserve"> </w:t>
            </w:r>
            <w:r>
              <w:rPr>
                <w:i/>
                <w:iCs/>
              </w:rPr>
              <w:t xml:space="preserve">Gracilaria vermiculophylla</w:t>
            </w:r>
            <w:r>
              <w:t xml:space="preserve"> </w:t>
            </w:r>
            <w:r>
              <w:t xml:space="preserve">(A) and its second derivative (B). The black line represents the average spectra, while the shaded ribbon indicates the standard deviation. Dashed lines mark the absorption maxima of Phycoerythrin, Phycocyanin, and Chlorophyll-a, shown in green, orange, and red, respectively.</w:t>
            </w:r>
          </w:p>
          <w:bookmarkEnd w:id="61"/>
        </w:tc>
      </w:tr>
    </w:tbl>
    <w:bookmarkEnd w:id="62"/>
    <w:bookmarkEnd w:id="63"/>
    <w:bookmarkStart w:id="74" w:name="spatial-distribution"/>
    <w:p>
      <w:pPr>
        <w:pStyle w:val="Heading2"/>
      </w:pPr>
      <w:r>
        <w:t xml:space="preserve">4.3 Spatial distribution</w:t>
      </w:r>
    </w:p>
    <w:p>
      <w:pPr>
        <w:pStyle w:val="FirstParagraph"/>
      </w:pPr>
      <w:r>
        <w:t xml:space="preserve">The classification map illustrates the diversity of benthic communities and substrates in the study area (</w:t>
      </w:r>
      <w:hyperlink w:anchor="fig-Belon">
        <w:r>
          <w:rPr>
            <w:rStyle w:val="Hyperlink"/>
          </w:rPr>
          <w:t xml:space="preserve">Figure 6</w:t>
        </w:r>
      </w:hyperlink>
      <w:r>
        <w:t xml:space="preserve"> </w:t>
      </w:r>
      <w:r>
        <w:t xml:space="preserve">A and B). Rhodophyceae (red) emerges as the dominant algal cover, forming extensive, continuous patches aligned with the mid-intertidal zones.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for study sites the presence/absence of G. vermiculophylla were classified with a global accuracy of 91.1 %, a sensitivity of 96.5 % and a specificity of 71.5 %.</w:t>
      </w:r>
    </w:p>
    <w:p>
      <w:pPr>
        <w:pStyle w:val="BodyText"/>
      </w:pPr>
      <w:r>
        <w:t xml:space="preserve">The bathymetric map reveals a continuous gradient in elevation relative to mean sea level (</w:t>
      </w:r>
      <w:hyperlink w:anchor="fig-Belon">
        <w:r>
          <w:rPr>
            <w:rStyle w:val="Hyperlink"/>
          </w:rPr>
          <w:t xml:space="preserve">Figure 6</w:t>
        </w:r>
      </w:hyperlink>
      <w:r>
        <w:t xml:space="preserve"> </w:t>
      </w:r>
      <w:r>
        <w:t xml:space="preserve">C). A comparison of bathymetry and vegetation distribution highlights a clear elevation-driven pattern in algal presence. Higher intertidal zones, located above the deeper channel areas, are associated with more extensive algal communities. In contrast, lower intertidal zones closer to the channel consistently exhibit reduced macroalgal cover.</w:t>
      </w:r>
    </w:p>
    <w:bookmarkStart w:id="68" w:name="cell-fig-Belon"/>
    <w:tbl>
      <w:tblPr>
        <w:tblStyle w:val="Table"/>
        <w:tblW w:type="pct" w:w="5000"/>
        <w:tblLayout w:type="fixed"/>
        <w:tblLook w:firstRow="0" w:lastRow="0" w:firstColumn="0" w:lastColumn="0" w:noHBand="0" w:noVBand="0" w:val="0000"/>
      </w:tblPr>
      <w:tblGrid>
        <w:gridCol w:w="7920"/>
      </w:tblGrid>
      <w:tr>
        <w:tc>
          <w:tcPr/>
          <w:bookmarkStart w:id="67" w:name="fig-Belon"/>
          <w:p>
            <w:pPr>
              <w:pStyle w:val="Compact"/>
              <w:jc w:val="center"/>
            </w:pPr>
            <w:r>
              <w:drawing>
                <wp:inline>
                  <wp:extent cx="5646420" cy="7156425"/>
                  <wp:effectExtent b="0" l="0" r="0" t="0"/>
                  <wp:docPr descr="" title="" id="65" name="Picture"/>
                  <a:graphic>
                    <a:graphicData uri="http://schemas.openxmlformats.org/drawingml/2006/picture">
                      <pic:pic>
                        <pic:nvPicPr>
                          <pic:cNvPr descr="./Figures/Low_res/Belon_maps.png" id="66" name="Picture"/>
                          <pic:cNvPicPr>
                            <a:picLocks noChangeArrowheads="1" noChangeAspect="1"/>
                          </pic:cNvPicPr>
                        </pic:nvPicPr>
                        <pic:blipFill>
                          <a:blip r:embed="rId64"/>
                          <a:stretch>
                            <a:fillRect/>
                          </a:stretch>
                        </pic:blipFill>
                        <pic:spPr bwMode="auto">
                          <a:xfrm>
                            <a:off x="0" y="0"/>
                            <a:ext cx="5646420" cy="715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DISCOV Prediction (A), RGB composition (B), Bathymetry (C) and mudflat angle (D) of the Bélon estuary site in Brttany, France. The total extent of this flight was 21 hectars with a resolution of 8 mm per pixel. Bathymetry is represented as the height above mean sea level.</w:t>
            </w:r>
          </w:p>
          <w:bookmarkEnd w:id="67"/>
        </w:tc>
      </w:tr>
    </w:tbl>
    <w:bookmarkEnd w:id="68"/>
    <w:p>
      <w:pPr>
        <w:pStyle w:val="BodyText"/>
      </w:pPr>
      <w:r>
        <w:t xml:space="preserve">Overall, the percent cover of</w:t>
      </w:r>
      <w:r>
        <w:t xml:space="preserve"> </w:t>
      </w:r>
      <w:r>
        <w:rPr>
          <w:i/>
          <w:iCs/>
        </w:rPr>
        <w:t xml:space="preserve">Gracilaria vermiculophylla</w:t>
      </w:r>
      <w:r>
        <w:t xml:space="preserve"> </w:t>
      </w:r>
      <w:r>
        <w:t xml:space="preserve">increases with bathymetry, as shown by the general relationship (</w:t>
      </w:r>
      <w:hyperlink w:anchor="fig-Gam_Slope">
        <w:r>
          <w:rPr>
            <w:rStyle w:val="Hyperlink"/>
          </w:rPr>
          <w:t xml:space="preserve">Figure 7</w:t>
        </w:r>
      </w:hyperlink>
      <w:r>
        <w:t xml:space="preserve">, black line), which rises from approximately 16% at the lowest elevation to about 30% at the highest elevation. This indicates a consistent positive association between bathymetry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Pr>
            <w:rStyle w:val="Hyperlink"/>
          </w:rPr>
          <w:t xml:space="preserve">Figure 7</w:t>
        </w:r>
      </w:hyperlink>
      <w:r>
        <w:t xml:space="preserve">). This demonstrates that slope modifies the relationship, with flatter slopes supporting a greater percent cover of the algae.</w:t>
      </w:r>
    </w:p>
    <w:bookmarkStart w:id="73" w:name="cell-fig-Gam_Slope"/>
    <w:tbl>
      <w:tblPr>
        <w:tblStyle w:val="Table"/>
        <w:tblW w:type="pct" w:w="5000"/>
        <w:tblLayout w:type="fixed"/>
        <w:tblLook w:firstRow="0" w:lastRow="0" w:firstColumn="0" w:lastColumn="0" w:noHBand="0" w:noVBand="0" w:val="0000"/>
      </w:tblPr>
      <w:tblGrid>
        <w:gridCol w:w="7920"/>
      </w:tblGrid>
      <w:tr>
        <w:tc>
          <w:tcPr/>
          <w:bookmarkStart w:id="72" w:name="fig-Gam_Slope"/>
          <w:p>
            <w:pPr>
              <w:pStyle w:val="Compact"/>
              <w:jc w:val="center"/>
            </w:pPr>
            <w:r>
              <w:drawing>
                <wp:inline>
                  <wp:extent cx="5646420" cy="2823210"/>
                  <wp:effectExtent b="0" l="0" r="0" t="0"/>
                  <wp:docPr descr="" title="" id="70" name="Picture"/>
                  <a:graphic>
                    <a:graphicData uri="http://schemas.openxmlformats.org/drawingml/2006/picture">
                      <pic:pic>
                        <pic:nvPicPr>
                          <pic:cNvPr descr="./Figures/Low_res/GAM_slope_cover.png" id="71" name="Picture"/>
                          <pic:cNvPicPr>
                            <a:picLocks noChangeArrowheads="1" noChangeAspect="1"/>
                          </pic:cNvPicPr>
                        </pic:nvPicPr>
                        <pic:blipFill>
                          <a:blip r:embed="rId6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DISCOV Prediction (A), RGB composition (B) and Bathymetry (C) of the Bélon estuary site in Brttany, France. The total extent of this flight was 21 hectars with a resolution of 8 mm per pixel. Bathymetry is represented as the height above mean sea level.</w:t>
            </w:r>
          </w:p>
          <w:bookmarkEnd w:id="72"/>
        </w:tc>
      </w:tr>
    </w:tbl>
    <w:bookmarkEnd w:id="73"/>
    <w:bookmarkEnd w:id="74"/>
    <w:bookmarkEnd w:id="75"/>
    <w:bookmarkStart w:id="79" w:name="discussion"/>
    <w:p>
      <w:pPr>
        <w:pStyle w:val="Heading1"/>
      </w:pPr>
      <w:r>
        <w:t xml:space="preserve">5. Discussion</w:t>
      </w:r>
    </w:p>
    <w:bookmarkStart w:id="76"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2024b)</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2024b;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76"/>
    <w:bookmarkStart w:id="77"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Gracilaria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rPr>
          <w:i/>
          <w:iCs/>
        </w:rPr>
        <w:t xml:space="preserve">Gracilaria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implentation of the algae is the hydrodynamism. Unlike seagrasses, another type of marine plant that can also colonize soft sediment, which possess rhizomes that provide robust anchorage,</w:t>
      </w:r>
      <w:r>
        <w:t xml:space="preserve"> </w:t>
      </w:r>
      <w:r>
        <w:rPr>
          <w:i/>
          <w:iCs/>
        </w:rPr>
        <w:t xml:space="preserve">Gracilaria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Gracilaria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observation aligns with the findings illustrated in</w:t>
      </w:r>
      <w:r>
        <w:t xml:space="preserve"> </w:t>
      </w:r>
      <w:hyperlink w:anchor="fig-HistoricalMap">
        <w:r>
          <w:rPr>
            <w:rStyle w:val="Hyperlink"/>
          </w:rPr>
          <w:t xml:space="preserve">Figure 3</w:t>
        </w:r>
      </w:hyperlink>
      <w:r>
        <w:t xml:space="preserve">, which show that one of the first areas colonized by</w:t>
      </w:r>
      <w:r>
        <w:t xml:space="preserve"> </w:t>
      </w:r>
      <w:r>
        <w:rPr>
          <w:i/>
          <w:iCs/>
        </w:rPr>
        <w:t xml:space="preserve">G. vermiculophylla</w:t>
      </w:r>
      <w:r>
        <w:t xml:space="preserve"> </w:t>
      </w:r>
      <w:r>
        <w:t xml:space="preserve">in 1992 in the Bélon estuary, France, was located near a salt marsh patch.</w:t>
      </w:r>
      <w:r>
        <w:br/>
      </w:r>
      <w:r>
        <w:t xml:space="preserve">As a result,</w:t>
      </w:r>
      <w:r>
        <w:t xml:space="preserve"> </w:t>
      </w:r>
      <w:r>
        <w:rPr>
          <w:i/>
          <w:iCs/>
        </w:rPr>
        <w:t xml:space="preserve">Gracilaria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slope steepness and the density of</w:t>
      </w:r>
      <w:r>
        <w:t xml:space="preserve"> </w:t>
      </w:r>
      <w:r>
        <w:rPr>
          <w:i/>
          <w:iCs/>
        </w:rPr>
        <w:t xml:space="preserve">Gracilaria vermiculophylla</w:t>
      </w:r>
      <w:r>
        <w:t xml:space="preserve"> </w:t>
      </w:r>
      <w:r>
        <w:t xml:space="preserve">can be explained by the physical and ecological characteristics of steeper mudflat areas. Steeper slopes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slopes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Additionally, these conditions may favor the formation of dense algal mats, which further stabilize the sediment and promote growth.</w:t>
      </w:r>
    </w:p>
    <w:bookmarkEnd w:id="77"/>
    <w:bookmarkStart w:id="78" w:name="Xe705ade76b51efc21a7a04fee84910d9085727e"/>
    <w:p>
      <w:pPr>
        <w:pStyle w:val="Heading2"/>
      </w:pPr>
      <w:r>
        <w:t xml:space="preserve">5.3 Spatio-temporal monitoring of invasive macroalgae</w:t>
      </w:r>
    </w:p>
    <w:p>
      <w:pPr>
        <w:pStyle w:val="FirstParagraph"/>
      </w:pPr>
      <w:r>
        <w:t xml:space="preserve">Accurate, high-resolution maps of invasive or alien species are extremely scarce</w:t>
      </w:r>
      <w:r>
        <w:t xml:space="preserve"> </w:t>
      </w:r>
      <w:r>
        <w:t xml:space="preserve">(Fourcade et al., 2014; Vilizzi et al., 2021)</w:t>
      </w:r>
      <w:r>
        <w:t xml:space="preserve">, yet they enable in-depth evaluations of these species’ ecology, temporal dynamics, and niche behavior in relation to their environment. In this study, using individual flights over monospecific algal mats, we quantified how this invasive alga associates with local mudflat topography, demonstrating that its distribution is closely tied to specific topographical features, such as elevation and slope gradients. This relationship reveals how physical features of the mudflat can influence the extent and density of</w:t>
      </w:r>
      <w:r>
        <w:t xml:space="preserve"> </w:t>
      </w:r>
      <w:r>
        <w:rPr>
          <w:i/>
          <w:iCs/>
        </w:rPr>
        <w:t xml:space="preserve">Gracilaria vermiculophylla</w:t>
      </w:r>
      <w:r>
        <w:t xml:space="preserve"> </w:t>
      </w:r>
      <w:r>
        <w:t xml:space="preserve">mats. Understanding the drivers of the spatial distribution of the algae helps to anticipate the future development of this species and identify areas vulnerable to its invasion. Repeated monitoring of this type can further reveal phenological patterns, invasion dynamics, and local conspecific biological interactions—such as co-occurrence, displacement, or avoidance</w:t>
      </w:r>
      <w:r>
        <w:t xml:space="preserve"> </w:t>
      </w:r>
      <w:r>
        <w:t xml:space="preserve">(Arim et al., 2006; Godoy et al., 2009)</w:t>
      </w:r>
      <w:r>
        <w:t xml:space="preserve">.</w:t>
      </w:r>
    </w:p>
    <w:p>
      <w:pPr>
        <w:pStyle w:val="BodyText"/>
      </w:pPr>
      <w:r>
        <w:t xml:space="preserve">Remote sensing using multispectral drone mapping can provide high-resolution, spatially explicit data, but it must be combined with repeated, in situ field measurements to maximize its potential</w:t>
      </w:r>
      <w:r>
        <w:t xml:space="preserve"> </w:t>
      </w:r>
      <w:r>
        <w:t xml:space="preserve">(Chadwick et al., 2020; Zoffoli et al., 2023)</w:t>
      </w:r>
      <w:r>
        <w:t xml:space="preserve">. As noted, temporal repetition makes it possible to assess dynamic processes, and integrating these mapping approaches with in situ analyses of local infauna, carbon cycling, riverine inputs, and sedimentology would yield valuable insights for local managers. Such an integrated approach could help determine how the invasive algae affects the local ecosystem and, more broadly, forecast its potential impact on other estuarine environments facing similar invasion events. This holistic approach can guide strategic interventions aimed at mitigating the alga’s spread, maintaining ecological balance, and protecting native biodiversity, ensuring that management efforts are informed by accurate, timely, and spatially explicit data.</w:t>
      </w:r>
    </w:p>
    <w:p>
      <w:pPr>
        <w:pStyle w:val="BodyText"/>
      </w:pPr>
      <w:r>
        <w:t xml:space="preserve">Invasive species like</w:t>
      </w:r>
      <w:r>
        <w:t xml:space="preserve"> </w:t>
      </w:r>
      <w:r>
        <w:rPr>
          <w:i/>
          <w:iCs/>
        </w:rPr>
        <w:t xml:space="preserve">Gracilaria vermiculophylla</w:t>
      </w:r>
      <w:r>
        <w:t xml:space="preserve"> </w:t>
      </w:r>
      <w:r>
        <w:t xml:space="preserve">and</w:t>
      </w:r>
      <w:r>
        <w:t xml:space="preserve"> </w:t>
      </w:r>
      <w:r>
        <w:rPr>
          <w:i/>
          <w:iCs/>
        </w:rPr>
        <w:t xml:space="preserve">Rugulopteryx okamurae</w:t>
      </w:r>
      <w:r>
        <w:t xml:space="preserve"> </w:t>
      </w:r>
      <w:r>
        <w:t xml:space="preserve">can be identified using drones equipped with multispectral sensors, taking advantage of the characteristic reflectance of rhodophytes</w:t>
      </w:r>
      <w:r>
        <w:t xml:space="preserve"> </w:t>
      </w:r>
      <w:r>
        <w:t xml:space="preserve">(Barillé et al., 2025; Nurdin et al., 2023)</w:t>
      </w:r>
      <w:r>
        <w:t xml:space="preserve">. However, while RGB sensors on readily available commercial drones can be used to perform accurate scene classification, their effectiveness for mapping invasive species has not yet been demonstrated</w:t>
      </w:r>
      <w:r>
        <w:t xml:space="preserve"> </w:t>
      </w:r>
      <w:r>
        <w:t xml:space="preserve">(Cheng et al., 2017; Kazakeviciute-Januskeviciene et al., 2020)</w:t>
      </w:r>
      <w:r>
        <w:t xml:space="preserve">. These drones are easy to deploy, can cover large areas when flying at speeds of 15 m s</w:t>
      </w:r>
      <w:r>
        <w:rPr>
          <w:vertAlign w:val="superscript"/>
        </w:rPr>
        <w:t xml:space="preserve">-1</w:t>
      </w:r>
      <w:r>
        <w:t xml:space="preserve"> </w:t>
      </w:r>
      <w:r>
        <w:t xml:space="preserve">at an altitude of 120 m, and still maintain sufficient overlap between images to support photogrammetric reconstruction. Expanding these methodologies to RGB-based detection would significantly lower barriers to entry, allowing local stakeholders with limited resources to access valuable monitoring tools for early detection and rapid response. A promising avenue for operational applications lies in testing machine learning techniques for coastal habitat mapping using RGB imagery that do not rely on enhanced spectral resolution. Considering the low cost of RGB and multispectral commercial drones, coupled with ongoing advancements in machine learning, drone-based remote sensing has now matured into a practical tool for adoption by environmental authorities in coastal management. Integrating these technologies into routine monitoring protocols can enhance surveillance capabilities, improve understanding of invasive species dynamics, and ultimately contribute to more effective conservation and restoration strategies.</w:t>
      </w:r>
    </w:p>
    <w:bookmarkEnd w:id="78"/>
    <w:bookmarkEnd w:id="79"/>
    <w:bookmarkStart w:id="80" w:name="conclusion"/>
    <w:p>
      <w:pPr>
        <w:pStyle w:val="Heading1"/>
      </w:pPr>
      <w:r>
        <w:t xml:space="preserve">6. Conclusion</w:t>
      </w:r>
    </w:p>
    <w:bookmarkEnd w:id="80"/>
    <w:bookmarkStart w:id="171" w:name="references"/>
    <w:p>
      <w:pPr>
        <w:pStyle w:val="Heading1"/>
      </w:pPr>
      <w:r>
        <w:t xml:space="preserve">7. References</w:t>
      </w:r>
    </w:p>
    <w:bookmarkStart w:id="170" w:name="refs"/>
    <w:bookmarkStart w:id="81"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81"/>
    <w:bookmarkStart w:id="83" w:name="ref-agisoft"/>
    <w:p>
      <w:pPr>
        <w:pStyle w:val="Bibliography"/>
      </w:pPr>
      <w:r>
        <w:t xml:space="preserve">Agisoft, 2019.</w:t>
      </w:r>
      <w:r>
        <w:t xml:space="preserve"> </w:t>
      </w:r>
      <w:hyperlink r:id="rId82">
        <w:r>
          <w:rPr>
            <w:rStyle w:val="Hyperlink"/>
          </w:rPr>
          <w:t xml:space="preserve">Agisoft metashape</w:t>
        </w:r>
      </w:hyperlink>
      <w:r>
        <w:t xml:space="preserve">.</w:t>
      </w:r>
    </w:p>
    <w:bookmarkEnd w:id="83"/>
    <w:bookmarkStart w:id="84" w:name="ref-arim2006spread"/>
    <w:p>
      <w:pPr>
        <w:pStyle w:val="Bibliography"/>
      </w:pPr>
      <w:r>
        <w:t xml:space="preserve">Arim, M., Abades, S.R., Neill, P.E., Lima, M., Marquet, P.A., 2006. Spread dynamics of invasive species. Proceedings of the National Academy of Sciences 103, 374–378.</w:t>
      </w:r>
    </w:p>
    <w:bookmarkEnd w:id="84"/>
    <w:bookmarkStart w:id="85" w:name="ref-barille2025variability"/>
    <w:p>
      <w:pPr>
        <w:pStyle w:val="Bibliography"/>
      </w:pPr>
      <w:r>
        <w:t xml:space="preserve">Barillé, L., Paterson, I.L., Oiry, S., Aris, A., Cook-Cottier, E.J., Nurdin, N., 2025. Variability of kappaphycus alvarezii cultivation in south-sulawesi (indonesia) related to the monsoon shift: Water quality, growth and colour quantification. Aquaculture Reports 40, 102557.</w:t>
      </w:r>
    </w:p>
    <w:bookmarkEnd w:id="85"/>
    <w:bookmarkStart w:id="86"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86"/>
    <w:bookmarkStart w:id="88"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87">
        <w:r>
          <w:rPr>
            <w:rStyle w:val="Hyperlink"/>
          </w:rPr>
          <w:t xml:space="preserve">https://doi.org/10.1016/j.seares.2014.02.014</w:t>
        </w:r>
      </w:hyperlink>
    </w:p>
    <w:bookmarkEnd w:id="88"/>
    <w:bookmarkStart w:id="89"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89"/>
    <w:bookmarkStart w:id="9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90"/>
    <w:bookmarkStart w:id="92" w:name="ref-Castaing1995"/>
    <w:p>
      <w:pPr>
        <w:pStyle w:val="Bibliography"/>
      </w:pPr>
      <w:r>
        <w:t xml:space="preserve">Castaing, P., Guilcher, A., 1995. Morphosedimentary evolution of ria-type estuaries. Earth Surface Processes and Landforms 20, 361–376.</w:t>
      </w:r>
      <w:r>
        <w:t xml:space="preserve"> </w:t>
      </w:r>
      <w:hyperlink r:id="rId91">
        <w:r>
          <w:rPr>
            <w:rStyle w:val="Hyperlink"/>
          </w:rPr>
          <w:t xml:space="preserve">https://doi.org/10.1002/esp.3290200408</w:t>
        </w:r>
      </w:hyperlink>
    </w:p>
    <w:bookmarkEnd w:id="92"/>
    <w:bookmarkStart w:id="93"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93"/>
    <w:bookmarkStart w:id="94"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94"/>
    <w:bookmarkStart w:id="96" w:name="ref-shinypck"/>
    <w:p>
      <w:pPr>
        <w:pStyle w:val="Bibliography"/>
      </w:pPr>
      <w:r>
        <w:t xml:space="preserve">Chang, W., Cheng, J., Allaire, J., Sievert, C., Schloerke, B., Xie, Y., Allen, J., McPherson, J., Dipert, A., Borges, B., 2024.</w:t>
      </w:r>
      <w:r>
        <w:t xml:space="preserve"> </w:t>
      </w:r>
      <w:hyperlink r:id="rId95">
        <w:r>
          <w:rPr>
            <w:rStyle w:val="Hyperlink"/>
          </w:rPr>
          <w:t xml:space="preserve">Shiny: Web application framework for r</w:t>
        </w:r>
      </w:hyperlink>
      <w:r>
        <w:t xml:space="preserve">.</w:t>
      </w:r>
    </w:p>
    <w:bookmarkEnd w:id="96"/>
    <w:bookmarkStart w:id="97" w:name="ref-cheng2017remote"/>
    <w:p>
      <w:pPr>
        <w:pStyle w:val="Bibliography"/>
      </w:pPr>
      <w:r>
        <w:t xml:space="preserve">Cheng, G., Han, J., Lu, X., 2017. Remote sensing image scene classification: Benchmark and state of the art. Proceedings of the IEEE 105, 1865–1883.</w:t>
      </w:r>
    </w:p>
    <w:bookmarkEnd w:id="97"/>
    <w:bookmarkStart w:id="98"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98"/>
    <w:bookmarkStart w:id="99"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99"/>
    <w:bookmarkStart w:id="100"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00"/>
    <w:bookmarkStart w:id="101"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01"/>
    <w:bookmarkStart w:id="103"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02">
        <w:r>
          <w:rPr>
            <w:rStyle w:val="Hyperlink"/>
          </w:rPr>
          <w:t xml:space="preserve">https://doi.org/10.3390/rs14133124</w:t>
        </w:r>
      </w:hyperlink>
    </w:p>
    <w:bookmarkEnd w:id="103"/>
    <w:bookmarkStart w:id="105" w:name="ref-rs14020346"/>
    <w:p>
      <w:pPr>
        <w:pStyle w:val="Bibliography"/>
      </w:pPr>
      <w:r>
        <w:t xml:space="preserve">Douay, F., Verpoorter, C., Duong, G., Spilmont, N., Gevaert, F., 2022. New hyperspectral procedure to discriminate intertidal macroalgae. Remote Sensing 14.</w:t>
      </w:r>
      <w:r>
        <w:t xml:space="preserve"> </w:t>
      </w:r>
      <w:hyperlink r:id="rId104">
        <w:r>
          <w:rPr>
            <w:rStyle w:val="Hyperlink"/>
          </w:rPr>
          <w:t xml:space="preserve">https://doi.org/10.3390/rs14020346</w:t>
        </w:r>
      </w:hyperlink>
    </w:p>
    <w:bookmarkEnd w:id="105"/>
    <w:bookmarkStart w:id="106"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06"/>
    <w:bookmarkStart w:id="107"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07"/>
    <w:bookmarkStart w:id="108" w:name="ref-firth2024invasive"/>
    <w:p>
      <w:pPr>
        <w:pStyle w:val="Bibliography"/>
      </w:pPr>
      <w:r>
        <w:t xml:space="preserve">Firth, L.B., Foggo, A., Watts, T., Knights, A.M., DeAmicis, S., 2024. Invasive macroalgae in native seagrass beds: Vectors of spread and impacts. Annals of Botany 133, 41–50.</w:t>
      </w:r>
    </w:p>
    <w:bookmarkEnd w:id="108"/>
    <w:bookmarkStart w:id="109" w:name="ref-fourcade2014mapping"/>
    <w:p>
      <w:pPr>
        <w:pStyle w:val="Bibliography"/>
      </w:pPr>
      <w:r>
        <w:t xml:space="preserve">Fourcade, Y., Engler, J.O., Rödder, D., Secondi, J., 2014. Mapping species distributions with MAXENT using a geographically biased sample of presence data: A performance assessment of methods for correcting sampling bias. PloS one 9, e97122.</w:t>
      </w:r>
    </w:p>
    <w:bookmarkEnd w:id="109"/>
    <w:bookmarkStart w:id="110"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10"/>
    <w:bookmarkStart w:id="111" w:name="ref-godoy2009different"/>
    <w:p>
      <w:pPr>
        <w:pStyle w:val="Bibliography"/>
      </w:pPr>
      <w:r>
        <w:t xml:space="preserve">Godoy, O., Castro-Dı́ez, P., Valladares, F., Costa-Tenorio, M., 2009. Different flowering phenology of alien invasive species in spain: Evidence for the use of an empty temporal niche? Plant Biology 11, 803–811.</w:t>
      </w:r>
    </w:p>
    <w:bookmarkEnd w:id="111"/>
    <w:bookmarkStart w:id="112" w:name="ref-grizel1991introduction"/>
    <w:p>
      <w:pPr>
        <w:pStyle w:val="Bibliography"/>
      </w:pPr>
      <w:r>
        <w:t xml:space="preserve">Grizel, H., Heral, M., 1991. Introduction into france of the japanese oyster (crassostrea gigas). ICES Journal of Marine Science 47, 399–403.</w:t>
      </w:r>
    </w:p>
    <w:bookmarkEnd w:id="112"/>
    <w:bookmarkStart w:id="113"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13"/>
    <w:bookmarkStart w:id="115" w:name="ref-terrapck"/>
    <w:p>
      <w:pPr>
        <w:pStyle w:val="Bibliography"/>
      </w:pPr>
      <w:r>
        <w:t xml:space="preserve">Hijmans, R.J., 2024.</w:t>
      </w:r>
      <w:r>
        <w:t xml:space="preserve"> </w:t>
      </w:r>
      <w:hyperlink r:id="rId114">
        <w:r>
          <w:rPr>
            <w:rStyle w:val="Hyperlink"/>
          </w:rPr>
          <w:t xml:space="preserve">Terra: Spatial data analysis</w:t>
        </w:r>
      </w:hyperlink>
      <w:r>
        <w:t xml:space="preserve">.</w:t>
      </w:r>
    </w:p>
    <w:bookmarkEnd w:id="115"/>
    <w:bookmarkStart w:id="116" w:name="ref-RemonterLeTempsIGN"/>
    <w:p>
      <w:pPr>
        <w:pStyle w:val="Bibliography"/>
      </w:pPr>
      <w:r>
        <w:t xml:space="preserve">IGN, 2024. Remonter le temps.</w:t>
      </w:r>
    </w:p>
    <w:bookmarkEnd w:id="116"/>
    <w:bookmarkStart w:id="117" w:name="ref-kazakeviciute2020assessment"/>
    <w:p>
      <w:pPr>
        <w:pStyle w:val="Bibliography"/>
      </w:pPr>
      <w:r>
        <w:t xml:space="preserve">Kazakeviciute-Januskeviciene, G., Janusonis, E., Bausys, R., Limba, T., Kiskis, M., 2020. Assessment of the segmentation of RGB remote sensing images: A subjective approach. Remote Sensing 12, 4152.</w:t>
      </w:r>
    </w:p>
    <w:bookmarkEnd w:id="117"/>
    <w:bookmarkStart w:id="118"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18"/>
    <w:bookmarkStart w:id="120"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19">
        <w:r>
          <w:rPr>
            <w:rStyle w:val="Hyperlink"/>
          </w:rPr>
          <w:t xml:space="preserve">https://doi.org/10.3390/d15020161</w:t>
        </w:r>
      </w:hyperlink>
    </w:p>
    <w:bookmarkEnd w:id="120"/>
    <w:bookmarkStart w:id="122"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21">
        <w:r>
          <w:rPr>
            <w:rStyle w:val="Hyperlink"/>
          </w:rPr>
          <w:t xml:space="preserve">https://doi.org/10.3390/rs11060704</w:t>
        </w:r>
      </w:hyperlink>
    </w:p>
    <w:bookmarkEnd w:id="122"/>
    <w:bookmarkStart w:id="124"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23">
        <w:r>
          <w:rPr>
            <w:rStyle w:val="Hyperlink"/>
          </w:rPr>
          <w:t xml:space="preserve">https://doi.org/10.3390/jmse11020367</w:t>
        </w:r>
      </w:hyperlink>
    </w:p>
    <w:bookmarkEnd w:id="124"/>
    <w:bookmarkStart w:id="126"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25">
        <w:r>
          <w:rPr>
            <w:rStyle w:val="Hyperlink"/>
          </w:rPr>
          <w:t xml:space="preserve">https://doi.org/10.1080/17445647.2021.1925170</w:t>
        </w:r>
      </w:hyperlink>
    </w:p>
    <w:bookmarkEnd w:id="126"/>
    <w:bookmarkStart w:id="127"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127"/>
    <w:bookmarkStart w:id="128"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28"/>
    <w:bookmarkStart w:id="130" w:name="ref-rs15143674"/>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w:t>
      </w:r>
      <w:r>
        <w:t xml:space="preserve"> </w:t>
      </w:r>
      <w:hyperlink r:id="rId129">
        <w:r>
          <w:rPr>
            <w:rStyle w:val="Hyperlink"/>
          </w:rPr>
          <w:t xml:space="preserve">https://doi.org/10.3390/rs15143674</w:t>
        </w:r>
      </w:hyperlink>
    </w:p>
    <w:bookmarkEnd w:id="130"/>
    <w:bookmarkStart w:id="131" w:name="ref-nyberg2007introduced"/>
    <w:p>
      <w:pPr>
        <w:pStyle w:val="Bibliography"/>
      </w:pPr>
      <w:r>
        <w:t xml:space="preserve">Nyberg, C.D., 2007. Introduced marine macroalgae and habitat modifiers: Their ecological role and significant attributes. Department of Marine Ecology.</w:t>
      </w:r>
    </w:p>
    <w:bookmarkEnd w:id="131"/>
    <w:bookmarkStart w:id="132" w:name="ref-nyberg2009flora"/>
    <w:p>
      <w:pPr>
        <w:pStyle w:val="Bibliography"/>
      </w:pPr>
      <w:r>
        <w:t xml:space="preserve">Nyberg, C.D., Thomsen, M.S., Wallentinus, I., 2009. Flora and fauna associated with the introduced red alga gracilaria vermiculophylla. European Journal of Phycology 44, 395–403.</w:t>
      </w:r>
    </w:p>
    <w:bookmarkEnd w:id="132"/>
    <w:bookmarkStart w:id="133"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33"/>
    <w:bookmarkStart w:id="135" w:name="ref-oiry_2024_14218984"/>
    <w:p>
      <w:pPr>
        <w:pStyle w:val="Bibliography"/>
      </w:pPr>
      <w:r>
        <w:t xml:space="preserve">Oiry, S., Davies, B.F.R., Pierre, G., Laurent, B., 2024a.</w:t>
      </w:r>
      <w:r>
        <w:t xml:space="preserve"> </w:t>
      </w:r>
      <w:r>
        <w:t xml:space="preserve">DISCOV: Drone Intertidal Sediment Classification Of Vegetation</w:t>
      </w:r>
      <w:r>
        <w:t xml:space="preserve">.</w:t>
      </w:r>
      <w:r>
        <w:t xml:space="preserve"> </w:t>
      </w:r>
      <w:hyperlink r:id="rId134">
        <w:r>
          <w:rPr>
            <w:rStyle w:val="Hyperlink"/>
          </w:rPr>
          <w:t xml:space="preserve">https://doi.org/10.5281/zenodo.14218984</w:t>
        </w:r>
      </w:hyperlink>
    </w:p>
    <w:bookmarkEnd w:id="135"/>
    <w:bookmarkStart w:id="137"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136">
        <w:r>
          <w:rPr>
            <w:rStyle w:val="Hyperlink"/>
          </w:rPr>
          <w:t xml:space="preserve">https://doi.org/10.3390/rs16234383</w:t>
        </w:r>
      </w:hyperlink>
    </w:p>
    <w:bookmarkEnd w:id="137"/>
    <w:bookmarkStart w:id="138"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38"/>
    <w:bookmarkStart w:id="139"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39"/>
    <w:bookmarkStart w:id="141" w:name="ref-WoRMS303450"/>
    <w:p>
      <w:pPr>
        <w:pStyle w:val="Bibliography"/>
      </w:pPr>
      <w:r>
        <w:t xml:space="preserve">Papenfuss, G.F., 1967.</w:t>
      </w:r>
      <w:r>
        <w:t xml:space="preserve"> </w:t>
      </w:r>
      <w:hyperlink r:id="rId140">
        <w:r>
          <w:rPr>
            <w:rStyle w:val="Hyperlink"/>
          </w:rPr>
          <w:t xml:space="preserve">Notes on algal nomenclature - v. Various chlorophyceae and rhodophyceae</w:t>
        </w:r>
      </w:hyperlink>
      <w:r>
        <w:t xml:space="preserve">. Phykos 5, 95–105.</w:t>
      </w:r>
    </w:p>
    <w:bookmarkEnd w:id="141"/>
    <w:bookmarkStart w:id="142"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42"/>
    <w:bookmarkStart w:id="143"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43"/>
    <w:bookmarkStart w:id="144"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44"/>
    <w:bookmarkStart w:id="145"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45"/>
    <w:bookmarkStart w:id="146" w:name="ref-roman2021using"/>
    <w:p>
      <w:pPr>
        <w:pStyle w:val="Bibliography"/>
      </w:pPr>
      <w:r>
        <w:t xml:space="preserve">Román, A., Tovar-Sánchez, A., Olivé, I., Navarro, G., 2021. Using a UAV-mounted multispectral camera for the monitoring of marine macrophytes. Frontiers in Marine Science 8, 722698.</w:t>
      </w:r>
    </w:p>
    <w:bookmarkEnd w:id="146"/>
    <w:bookmarkStart w:id="147" w:name="ref-romero2008sintering"/>
    <w:p>
      <w:pPr>
        <w:pStyle w:val="Bibliography"/>
      </w:pPr>
      <w:r>
        <w:t xml:space="preserve">Romero, M., Andrés, A., Alonso, R., Viguri, J., Rincón, J.M., 2008. Sintering behaviour of ceramic bodies from contaminated marine sediments. Ceramics International 34, 1917–1924.</w:t>
      </w:r>
    </w:p>
    <w:bookmarkEnd w:id="147"/>
    <w:bookmarkStart w:id="148" w:name="ref-rueness2005life"/>
    <w:p>
      <w:pPr>
        <w:pStyle w:val="Bibliography"/>
      </w:pPr>
      <w:r>
        <w:t xml:space="preserve">Rueness, J., 2005. Life history and molecular sequences of gracilaria vermiculophylla (gracilariales, rhodophyta), a new introduction to european waters. Phycologia 44, 120–128.</w:t>
      </w:r>
    </w:p>
    <w:bookmarkEnd w:id="148"/>
    <w:bookmarkStart w:id="149" w:name="ref-savitzky1964smoothing"/>
    <w:p>
      <w:pPr>
        <w:pStyle w:val="Bibliography"/>
      </w:pPr>
      <w:r>
        <w:t xml:space="preserve">Savitzky, A., Golay, M.J., 1964. Smoothing and differentiation of data by simplified least squares procedures. Analytical chemistry 36, 1627–1639.</w:t>
      </w:r>
    </w:p>
    <w:bookmarkEnd w:id="149"/>
    <w:bookmarkStart w:id="150"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50"/>
    <w:bookmarkStart w:id="152" w:name="ref-Simon2024ShinyApp"/>
    <w:p>
      <w:pPr>
        <w:pStyle w:val="Bibliography"/>
      </w:pPr>
      <w:r>
        <w:t xml:space="preserve">Simon, O., 2024.</w:t>
      </w:r>
      <w:r>
        <w:t xml:space="preserve"> </w:t>
      </w:r>
      <w:hyperlink r:id="rId151">
        <w:r>
          <w:rPr>
            <w:rStyle w:val="Hyperlink"/>
          </w:rPr>
          <w:t xml:space="preserve">Shiny app for validation dataset building</w:t>
        </w:r>
      </w:hyperlink>
      <w:r>
        <w:t xml:space="preserve">.</w:t>
      </w:r>
    </w:p>
    <w:bookmarkEnd w:id="152"/>
    <w:bookmarkStart w:id="153"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53"/>
    <w:bookmarkStart w:id="154"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54"/>
    <w:bookmarkStart w:id="156"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55">
        <w:r>
          <w:rPr>
            <w:rStyle w:val="Hyperlink"/>
          </w:rPr>
          <w:t xml:space="preserve">https://doi.org/10.1007/s11356-011-0479-3</w:t>
        </w:r>
      </w:hyperlink>
    </w:p>
    <w:bookmarkEnd w:id="156"/>
    <w:bookmarkStart w:id="157"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57"/>
    <w:bookmarkStart w:id="158"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158"/>
    <w:bookmarkStart w:id="159"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59"/>
    <w:bookmarkStart w:id="160"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60"/>
    <w:bookmarkStart w:id="161"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61"/>
    <w:bookmarkStart w:id="162"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62"/>
    <w:bookmarkStart w:id="163" w:name="ref-vilizzi2021global"/>
    <w:p>
      <w:pPr>
        <w:pStyle w:val="Bibliography"/>
      </w:pPr>
      <w:r>
        <w:t xml:space="preserve">Vilizzi, L., Copp, G.H., Hill, J.E., Adamovich, B., Aislabie, L., Akin, D., Al-Faisal, A.J., Almeida, D., Azmai, M.A., Bakiu, R., others, 2021. A global-scale screening of non-native aquatic organisms to identify potentially invasive species under current and future climate conditions. Science of the Total Environment 788, 147868.</w:t>
      </w:r>
    </w:p>
    <w:bookmarkEnd w:id="163"/>
    <w:bookmarkStart w:id="164"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64"/>
    <w:bookmarkStart w:id="165" w:name="ref-williams2007global"/>
    <w:p>
      <w:pPr>
        <w:pStyle w:val="Bibliography"/>
      </w:pPr>
      <w:r>
        <w:t xml:space="preserve">Williams, S.L., Smith, J.E., 2007. A global review of the distribution, taxonomy, and impacts of introduced seaweeds. Annu. Rev. Ecol. Evol. Syst. 38, 327–359.</w:t>
      </w:r>
    </w:p>
    <w:bookmarkEnd w:id="165"/>
    <w:bookmarkStart w:id="167"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66">
        <w:r>
          <w:rPr>
            <w:rStyle w:val="Hyperlink"/>
          </w:rPr>
          <w:t xml:space="preserve">https://doi.org/10.3390/d14121077</w:t>
        </w:r>
      </w:hyperlink>
    </w:p>
    <w:bookmarkEnd w:id="167"/>
    <w:bookmarkStart w:id="168"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68"/>
    <w:bookmarkStart w:id="169"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69"/>
    <w:bookmarkEnd w:id="170"/>
    <w:bookmarkEnd w:id="171"/>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58" Target="media/rId58.png" /><Relationship Type="http://schemas.openxmlformats.org/officeDocument/2006/relationships/image" Id="rId23" Target="media/rId23.png" /><Relationship Type="http://schemas.openxmlformats.org/officeDocument/2006/relationships/hyperlink" Id="rId95" Target="https://CRAN.R-project.org/package=shiny" TargetMode="External" /><Relationship Type="http://schemas.openxmlformats.org/officeDocument/2006/relationships/hyperlink" Id="rId114" Target="https://CRAN.R-project.org/package=terra" TargetMode="External" /><Relationship Type="http://schemas.openxmlformats.org/officeDocument/2006/relationships/hyperlink" Id="rId91" Target="https://doi.org/10.1002/esp.3290200408" TargetMode="External" /><Relationship Type="http://schemas.openxmlformats.org/officeDocument/2006/relationships/hyperlink" Id="rId155" Target="https://doi.org/10.1007/s11356-011-0479-3" TargetMode="External" /><Relationship Type="http://schemas.openxmlformats.org/officeDocument/2006/relationships/hyperlink" Id="rId87" Target="https://doi.org/10.1016/j.seares.2014.02.014" TargetMode="External" /><Relationship Type="http://schemas.openxmlformats.org/officeDocument/2006/relationships/hyperlink" Id="rId125" Target="https://doi.org/10.1080/17445647.2021.1925170" TargetMode="External" /><Relationship Type="http://schemas.openxmlformats.org/officeDocument/2006/relationships/hyperlink" Id="rId166" Target="https://doi.org/10.3390/d14121077" TargetMode="External" /><Relationship Type="http://schemas.openxmlformats.org/officeDocument/2006/relationships/hyperlink" Id="rId119" Target="https://doi.org/10.3390/d15020161" TargetMode="External" /><Relationship Type="http://schemas.openxmlformats.org/officeDocument/2006/relationships/hyperlink" Id="rId123" Target="https://doi.org/10.3390/jmse11020367" TargetMode="External" /><Relationship Type="http://schemas.openxmlformats.org/officeDocument/2006/relationships/hyperlink" Id="rId121" Target="https://doi.org/10.3390/rs11060704" TargetMode="External" /><Relationship Type="http://schemas.openxmlformats.org/officeDocument/2006/relationships/hyperlink" Id="rId104" Target="https://doi.org/10.3390/rs14020346" TargetMode="External" /><Relationship Type="http://schemas.openxmlformats.org/officeDocument/2006/relationships/hyperlink" Id="rId102" Target="https://doi.org/10.3390/rs14133124" TargetMode="External" /><Relationship Type="http://schemas.openxmlformats.org/officeDocument/2006/relationships/hyperlink" Id="rId129" Target="https://doi.org/10.3390/rs15143674" TargetMode="External" /><Relationship Type="http://schemas.openxmlformats.org/officeDocument/2006/relationships/hyperlink" Id="rId136" Target="https://doi.org/10.3390/rs16234383" TargetMode="External" /><Relationship Type="http://schemas.openxmlformats.org/officeDocument/2006/relationships/hyperlink" Id="rId134" Target="https://doi.org/10.5281/zenodo.14218984" TargetMode="External" /><Relationship Type="http://schemas.openxmlformats.org/officeDocument/2006/relationships/hyperlink" Id="rId140" Target="https://marinespecies.org/aphia.php?p=sourcedetails&amp;id=303450" TargetMode="External" /><Relationship Type="http://schemas.openxmlformats.org/officeDocument/2006/relationships/hyperlink" Id="rId151" Target="https://oirysimon.shinyapps.io/shiny_validate/" TargetMode="External" /><Relationship Type="http://schemas.openxmlformats.org/officeDocument/2006/relationships/hyperlink" Id="rId82"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95" Target="https://CRAN.R-project.org/package=shiny" TargetMode="External" /><Relationship Type="http://schemas.openxmlformats.org/officeDocument/2006/relationships/hyperlink" Id="rId114" Target="https://CRAN.R-project.org/package=terra" TargetMode="External" /><Relationship Type="http://schemas.openxmlformats.org/officeDocument/2006/relationships/hyperlink" Id="rId91" Target="https://doi.org/10.1002/esp.3290200408" TargetMode="External" /><Relationship Type="http://schemas.openxmlformats.org/officeDocument/2006/relationships/hyperlink" Id="rId155" Target="https://doi.org/10.1007/s11356-011-0479-3" TargetMode="External" /><Relationship Type="http://schemas.openxmlformats.org/officeDocument/2006/relationships/hyperlink" Id="rId87" Target="https://doi.org/10.1016/j.seares.2014.02.014" TargetMode="External" /><Relationship Type="http://schemas.openxmlformats.org/officeDocument/2006/relationships/hyperlink" Id="rId125" Target="https://doi.org/10.1080/17445647.2021.1925170" TargetMode="External" /><Relationship Type="http://schemas.openxmlformats.org/officeDocument/2006/relationships/hyperlink" Id="rId166" Target="https://doi.org/10.3390/d14121077" TargetMode="External" /><Relationship Type="http://schemas.openxmlformats.org/officeDocument/2006/relationships/hyperlink" Id="rId119" Target="https://doi.org/10.3390/d15020161" TargetMode="External" /><Relationship Type="http://schemas.openxmlformats.org/officeDocument/2006/relationships/hyperlink" Id="rId123" Target="https://doi.org/10.3390/jmse11020367" TargetMode="External" /><Relationship Type="http://schemas.openxmlformats.org/officeDocument/2006/relationships/hyperlink" Id="rId121" Target="https://doi.org/10.3390/rs11060704" TargetMode="External" /><Relationship Type="http://schemas.openxmlformats.org/officeDocument/2006/relationships/hyperlink" Id="rId104" Target="https://doi.org/10.3390/rs14020346" TargetMode="External" /><Relationship Type="http://schemas.openxmlformats.org/officeDocument/2006/relationships/hyperlink" Id="rId102" Target="https://doi.org/10.3390/rs14133124" TargetMode="External" /><Relationship Type="http://schemas.openxmlformats.org/officeDocument/2006/relationships/hyperlink" Id="rId129" Target="https://doi.org/10.3390/rs15143674" TargetMode="External" /><Relationship Type="http://schemas.openxmlformats.org/officeDocument/2006/relationships/hyperlink" Id="rId136" Target="https://doi.org/10.3390/rs16234383" TargetMode="External" /><Relationship Type="http://schemas.openxmlformats.org/officeDocument/2006/relationships/hyperlink" Id="rId134" Target="https://doi.org/10.5281/zenodo.14218984" TargetMode="External" /><Relationship Type="http://schemas.openxmlformats.org/officeDocument/2006/relationships/hyperlink" Id="rId140" Target="https://marinespecies.org/aphia.php?p=sourcedetails&amp;id=303450" TargetMode="External" /><Relationship Type="http://schemas.openxmlformats.org/officeDocument/2006/relationships/hyperlink" Id="rId151" Target="https://oirysimon.shinyapps.io/shiny_validate/" TargetMode="External" /><Relationship Type="http://schemas.openxmlformats.org/officeDocument/2006/relationships/hyperlink" Id="rId82"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distribution of the invasive Gracilaria vermiculophylla through remote sensing at its first described European site</dc:title>
  <dc:creator>Simon Oiry¹; Bede Ffinian Rowe Davies¹; Pierre Gernez¹; Laurent Barillé¹</dc:creator>
  <cp:keywords>Remote Sensing, Invasive species, Coastal Ecosystems, Biodiversity</cp:keywords>
  <dcterms:created xsi:type="dcterms:W3CDTF">2024-12-18T09:55:00Z</dcterms:created>
  <dcterms:modified xsi:type="dcterms:W3CDTF">2024-12-18T09:55:00Z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shorttitle">
    <vt:lpwstr>DISCOV - Gracilaria</vt:lpwstr>
  </property>
  <property fmtid="{D5CDD505-2E9C-101B-9397-08002B2CF9AE}" pid="28" name="template-partials">
    <vt:lpwstr/>
  </property>
  <property fmtid="{D5CDD505-2E9C-101B-9397-08002B2CF9AE}" pid="29" name="theme">
    <vt:lpwstr>cosmo</vt:lpwstr>
  </property>
  <property fmtid="{D5CDD505-2E9C-101B-9397-08002B2CF9AE}" pid="30" name="title-block-style">
    <vt:lpwstr>manuscript</vt:lpwstr>
  </property>
  <property fmtid="{D5CDD505-2E9C-101B-9397-08002B2CF9AE}" pid="31" name="toc-title">
    <vt:lpwstr>Table of contents</vt:lpwstr>
  </property>
  <property fmtid="{D5CDD505-2E9C-101B-9397-08002B2CF9AE}" pid="32" name="unroll-markdown-cells">
    <vt:lpwstr>True</vt:lpwstr>
  </property>
</Properties>
</file>